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A42" w:rsidRPr="0001173C" w:rsidRDefault="00762496" w:rsidP="008F03B7">
      <w:pPr>
        <w:pStyle w:val="1"/>
        <w:spacing w:line="240" w:lineRule="auto"/>
        <w:ind w:left="7240" w:firstLine="0"/>
      </w:pPr>
      <w:bookmarkStart w:id="0" w:name="_GoBack"/>
      <w:bookmarkEnd w:id="0"/>
      <w:r w:rsidRPr="008F03B7">
        <w:t>Приложение № 2</w:t>
      </w:r>
    </w:p>
    <w:p w:rsidR="00177B65" w:rsidRPr="0001173C" w:rsidRDefault="00762496" w:rsidP="008F03B7">
      <w:pPr>
        <w:pStyle w:val="1"/>
        <w:spacing w:line="240" w:lineRule="auto"/>
        <w:ind w:left="7240" w:firstLine="0"/>
      </w:pPr>
      <w:r w:rsidRPr="008F03B7">
        <w:t>к Порядку</w:t>
      </w:r>
    </w:p>
    <w:p w:rsidR="008F03B7" w:rsidRPr="0001173C" w:rsidRDefault="008F03B7" w:rsidP="008F03B7">
      <w:pPr>
        <w:pStyle w:val="1"/>
        <w:spacing w:line="240" w:lineRule="auto"/>
        <w:ind w:left="7240" w:firstLine="0"/>
      </w:pPr>
    </w:p>
    <w:p w:rsidR="008F03B7" w:rsidRPr="0001173C" w:rsidRDefault="008F03B7" w:rsidP="008F03B7">
      <w:pPr>
        <w:pStyle w:val="1"/>
        <w:spacing w:line="240" w:lineRule="auto"/>
        <w:ind w:left="7240" w:firstLine="0"/>
      </w:pPr>
    </w:p>
    <w:p w:rsidR="00177B65" w:rsidRDefault="00762496">
      <w:pPr>
        <w:pStyle w:val="1"/>
        <w:spacing w:after="460" w:line="240" w:lineRule="auto"/>
        <w:ind w:firstLine="0"/>
        <w:jc w:val="center"/>
      </w:pPr>
      <w:r>
        <w:rPr>
          <w:b/>
          <w:bCs/>
        </w:rPr>
        <w:t>НАПРАВЛЕНИЯ</w:t>
      </w:r>
      <w:r>
        <w:rPr>
          <w:b/>
          <w:bCs/>
        </w:rPr>
        <w:br/>
        <w:t>расходования целевых средств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8"/>
        <w:gridCol w:w="2444"/>
        <w:gridCol w:w="1004"/>
        <w:gridCol w:w="5526"/>
      </w:tblGrid>
      <w:tr w:rsidR="00177B65">
        <w:trPr>
          <w:trHeight w:hRule="exact" w:val="580"/>
          <w:jc w:val="center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расходования целевых средств</w:t>
            </w:r>
          </w:p>
        </w:tc>
        <w:tc>
          <w:tcPr>
            <w:tcW w:w="5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выплат, соответствующих направлениям расходования целевых средств</w:t>
            </w:r>
          </w:p>
        </w:tc>
      </w:tr>
      <w:tr w:rsidR="00177B65">
        <w:trPr>
          <w:trHeight w:hRule="exact" w:val="439"/>
          <w:jc w:val="center"/>
        </w:trPr>
        <w:tc>
          <w:tcPr>
            <w:tcW w:w="6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77B65" w:rsidRDefault="0076249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77B65" w:rsidRDefault="00762496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5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B65" w:rsidRDefault="00177B65"/>
        </w:tc>
      </w:tr>
      <w:tr w:rsidR="00177B65">
        <w:trPr>
          <w:trHeight w:hRule="exact" w:val="284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77B65" w:rsidTr="00E67287">
        <w:trPr>
          <w:trHeight w:hRule="exact" w:val="5522"/>
          <w:jc w:val="center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177B65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персоналу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1010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Заработная плата и удержания из заработной платы: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выплата заработной платы, осуществляемая на основе договоров (контрактов), в соответствии с трудовым законодательством, лицам, участвующим в процессе поставки товаров, выполнения работ, оказания услуг;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выплата работодателем удержаний, производимых с заработной платы работников, участвующих в процессе поставки товаров, выполнения работ, оказания услуг (налог на доходы физических лиц, членские профсоюзные взносы, удержания по исполнительным документам, в том числе на оплату алиментов, и другие аналогичные выплаты);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доходы физических лиц с выплат физическим лицам в связи с выполнением ими работ (оказанием ими услуг) на основании договоров гражданско-правового характера: другие аналогичные выплаты</w:t>
            </w:r>
          </w:p>
        </w:tc>
      </w:tr>
      <w:tr w:rsidR="00177B65" w:rsidTr="00E67287">
        <w:trPr>
          <w:trHeight w:hRule="exact" w:val="3856"/>
          <w:jc w:val="center"/>
        </w:trPr>
        <w:tc>
          <w:tcPr>
            <w:tcW w:w="6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244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1020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Выплаты, пособия и компенсации: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работодателя в пользу работников, не относящиеся к заработной плате, дополнительные выплаты, пособия и компенсации, обусловленные условиями трудовых отношений;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командировочные и иные выплаты в соответствии с трудовыми договорами и законодательством Российской Федерации, законодательством субъектов Российской Федерации (в том числе компенсация найма (поднайма) жилых помещений, за использование личного транспорта для служебных целей, пособия по временной нетрудоспособности);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аналогичные выплаты</w:t>
            </w:r>
          </w:p>
        </w:tc>
      </w:tr>
      <w:tr w:rsidR="00177B65">
        <w:trPr>
          <w:trHeight w:hRule="exact" w:val="1130"/>
          <w:jc w:val="center"/>
        </w:trPr>
        <w:tc>
          <w:tcPr>
            <w:tcW w:w="6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Начисления на выплаты по оплате труда: уплата как в составе единого налогового платежа, так и по отдельности страховых взносов на обязательное пенсионное страхование, на</w:t>
            </w:r>
            <w:r w:rsidR="00620408">
              <w:rPr>
                <w:sz w:val="24"/>
                <w:szCs w:val="24"/>
              </w:rPr>
              <w:t xml:space="preserve"> </w:t>
            </w:r>
          </w:p>
        </w:tc>
      </w:tr>
    </w:tbl>
    <w:p w:rsidR="00177B65" w:rsidRDefault="0076249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"/>
        <w:gridCol w:w="2437"/>
        <w:gridCol w:w="1004"/>
        <w:gridCol w:w="5540"/>
      </w:tblGrid>
      <w:tr w:rsidR="00177B65">
        <w:trPr>
          <w:trHeight w:hRule="exact" w:val="3586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177B65">
            <w:pPr>
              <w:rPr>
                <w:sz w:val="10"/>
                <w:szCs w:val="1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177B65">
            <w:pPr>
              <w:rPr>
                <w:sz w:val="10"/>
                <w:szCs w:val="1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177B65">
            <w:pPr>
              <w:rPr>
                <w:sz w:val="10"/>
                <w:szCs w:val="10"/>
              </w:rPr>
            </w:pP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обязательное социальное страхование на случай временной нетрудоспособности и в связи с материнством, на обязательное медицинское страхование, а также уплата страховых взносов от несчастных случаев на производстве и профессиональных заболеваний, относящихся к оплате труда персонала, участвующего в процессе производства товаров, выполнения работ, оказания услуг, в том числе с выплат физическим лицам в связи с выполнением ими работ (оказанием ими услуг) на основании договоров гражданско-правового характера;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начисления на выплаты по оплате труда</w:t>
            </w:r>
          </w:p>
        </w:tc>
      </w:tr>
      <w:tr w:rsidR="00177B65">
        <w:trPr>
          <w:trHeight w:hRule="exact" w:val="2228"/>
          <w:jc w:val="center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работ и услуг </w:t>
            </w:r>
            <w:r>
              <w:rPr>
                <w:sz w:val="24"/>
                <w:szCs w:val="24"/>
                <w:vertAlign w:val="superscript"/>
              </w:rPr>
              <w:t>1</w:t>
            </w:r>
            <w:r>
              <w:rPr>
                <w:sz w:val="24"/>
                <w:szCs w:val="24"/>
              </w:rPr>
              <w:t xml:space="preserve"> (за исключением выплат на капитальные вложения), в том числе на основании договора гражданско</w:t>
            </w:r>
            <w:r w:rsidR="006204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правового характера, исполнителем по которому является физическое лицо или индивидуальный предприниматель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на приобретение услуг связи: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почтовой связи, в том числе подписка на периодические издания;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фельдъегерской и специальной связи; услуги телефонно-телеграфной, факсимильной, сотовой, пейджинговой связи, радиосвязи, интернет-провайдеров;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аналогичные выплаты</w:t>
            </w:r>
          </w:p>
        </w:tc>
      </w:tr>
      <w:tr w:rsidR="00177B65">
        <w:trPr>
          <w:trHeight w:hRule="exact" w:val="2214"/>
          <w:jc w:val="center"/>
        </w:trPr>
        <w:tc>
          <w:tcPr>
            <w:tcW w:w="72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243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на приобретение транспортных услуг, в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 числе: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провозная плата по контрактам (договорам) перевозки пассажиров и багажа;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плата за перевозку (доставку) грузов (отправлений) по контрактам (договорам) перевозки (доставки, фрахтования);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аналогичные выплаты</w:t>
            </w:r>
          </w:p>
        </w:tc>
      </w:tr>
      <w:tr w:rsidR="00177B65" w:rsidTr="00E67287">
        <w:trPr>
          <w:trHeight w:hRule="exact" w:val="1649"/>
          <w:jc w:val="center"/>
        </w:trPr>
        <w:tc>
          <w:tcPr>
            <w:tcW w:w="72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243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на приобретение коммунальных услуг для нужд получателя целевых средств: оплата услуг отопления, горячего и холодного водоснабжения, предоставления газа и электроэнергии;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выплаты по оплате коммунальных услуг</w:t>
            </w:r>
          </w:p>
        </w:tc>
      </w:tr>
      <w:tr w:rsidR="00177B65" w:rsidTr="00E67287">
        <w:trPr>
          <w:trHeight w:hRule="exact" w:val="1930"/>
          <w:jc w:val="center"/>
        </w:trPr>
        <w:tc>
          <w:tcPr>
            <w:tcW w:w="72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243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2040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по оплате арендной платы в соответствии с заключенными контрактами (договорами) аренды, в том числе финансовой аренды (лизинга) имущественного найма объектов основных средств, связанных непосредственно с поставкой товаров, выполнением работ, оказанием услуг</w:t>
            </w:r>
          </w:p>
        </w:tc>
      </w:tr>
      <w:tr w:rsidR="00177B65">
        <w:trPr>
          <w:trHeight w:hRule="exact" w:val="2801"/>
          <w:jc w:val="center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2050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по оплате контрактов (договоров) на выполнение работ, оказание услуг, связанных с содержанием, эксплуатацией, обслуживанием, ремонтом (текущим и капитальным) зданий, помещений, основных средств, связанных непосредственно с поставкой товаров, выполнением работ, оказанием услуг, в том числе: содержание нефинансовых активов в чистоте; ремонт (текущий и капитальный) и реставрация нефинансовых активов;</w:t>
            </w:r>
          </w:p>
        </w:tc>
      </w:tr>
    </w:tbl>
    <w:p w:rsidR="00177B65" w:rsidRDefault="0076249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"/>
        <w:gridCol w:w="2434"/>
        <w:gridCol w:w="1004"/>
        <w:gridCol w:w="5537"/>
      </w:tblGrid>
      <w:tr w:rsidR="00177B65">
        <w:trPr>
          <w:trHeight w:hRule="exact" w:val="2495"/>
          <w:jc w:val="center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177B65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177B65">
            <w:pPr>
              <w:rPr>
                <w:sz w:val="10"/>
                <w:szCs w:val="1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177B65">
            <w:pPr>
              <w:rPr>
                <w:sz w:val="10"/>
                <w:szCs w:val="1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противопожарные мероприятия, связанные с содержанием имущества;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по переносу (переустройству, присоединению) принадлежащих юридическим лицам инженерных сетей, коммуникаций, сооружений в соответствии с законодательством Российской Федерации о градостроительной деятельности;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аналогичные выплаты</w:t>
            </w:r>
          </w:p>
        </w:tc>
      </w:tr>
      <w:tr w:rsidR="00177B65" w:rsidTr="00E67287">
        <w:trPr>
          <w:trHeight w:hRule="exact" w:val="3600"/>
          <w:jc w:val="center"/>
        </w:trPr>
        <w:tc>
          <w:tcPr>
            <w:tcW w:w="72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24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2060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на оказание услуг в области информационных технологий, непосредственно связанные с поставкой товаров, выполнением работ, оказанием услуг, в том числе: обеспечение безопасности информации и режимно-секретных мероприятий; приобретение неисключительных (пользовательских), лицензионных прав на программное обеспечение;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 обновление справочно</w:t>
            </w:r>
            <w:r>
              <w:rPr>
                <w:sz w:val="24"/>
                <w:szCs w:val="24"/>
              </w:rPr>
              <w:softHyphen/>
              <w:t>информационных баз данных; другие аналогичные выплаты, связанные с оказанием услуг в области информационных технологий</w:t>
            </w:r>
          </w:p>
        </w:tc>
      </w:tr>
      <w:tr w:rsidR="00177B65" w:rsidTr="00E67287">
        <w:trPr>
          <w:trHeight w:hRule="exact" w:val="7978"/>
          <w:jc w:val="center"/>
        </w:trPr>
        <w:tc>
          <w:tcPr>
            <w:tcW w:w="72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24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2070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на выполнение работ, оказание услуг, не отнесенных к направлениям расходования целевых средств по кодам 2010 - 2060, в том числе: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научно-исследовательские, опытно</w:t>
            </w:r>
            <w:r w:rsidR="0062040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softHyphen/>
              <w:t>конструкторские, опытно-технологические, геолого-разведочные работы, услуги по типовому проектированию, проектные и изыскательские работы;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монтажные работы;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по страхованию имущества, гражданской ответственности и здоровья;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по формированию корпоративного имиджа;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по проведению маркетинговых исследований;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по предоставлению выписок из государственных реестров;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рекламного характера (в том числе размещение объявлений в средствах массовой информации);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агентов по операциям с государственными (муниципальными) активами и обязательствами; оплата юридических и адвокатских услуг;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по обеспечению исполнения гарантийных обязательств (в том числе по взысканию задолженности по выданным гарантиям);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аналогичные выплаты, связанные с закупкой товаров, работ, услуг</w:t>
            </w:r>
          </w:p>
        </w:tc>
      </w:tr>
      <w:tr w:rsidR="00177B65">
        <w:trPr>
          <w:trHeight w:hRule="exact" w:val="31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77B65" w:rsidRDefault="002E22C3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3010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на увеличение стоимости</w:t>
            </w:r>
          </w:p>
        </w:tc>
      </w:tr>
    </w:tbl>
    <w:p w:rsidR="00177B65" w:rsidRDefault="0076249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"/>
        <w:gridCol w:w="2437"/>
        <w:gridCol w:w="1004"/>
        <w:gridCol w:w="5537"/>
      </w:tblGrid>
      <w:tr w:rsidR="00177B65" w:rsidTr="00E67287">
        <w:trPr>
          <w:trHeight w:hRule="exact" w:val="4162"/>
          <w:jc w:val="center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177B65">
            <w:pPr>
              <w:rPr>
                <w:sz w:val="10"/>
                <w:szCs w:val="10"/>
              </w:rPr>
            </w:pP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непроизведенных активов.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нематериальных активов, материальных запасов и основных средств и прочих активов (за исключением выплат на капитальные вложения), в том числе на основании договора гражданско-правового характера, исполнителем по которому является физическое лицо или индивидуальный предприниматель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177B65">
            <w:pPr>
              <w:rPr>
                <w:sz w:val="10"/>
                <w:szCs w:val="1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нематериальных активов: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по оплате контрактов (договоров) на приобретение исключительных прав на результаты интеллектуальной деятельности или средства индивидуализации, в том числе: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программное обеспечение и базы данных для электронных вычислительных машин;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товарные знаки и знаки обслуживания;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"ноу-хау" и объекты смежных прав;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научные разработки и изобретения, промышленные образцы и полезные модели; затраты на специальную технологическую оснастку;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выплаты, относящиеся к увеличению стоимости нематериальных активов</w:t>
            </w:r>
          </w:p>
        </w:tc>
      </w:tr>
      <w:tr w:rsidR="00177B65">
        <w:trPr>
          <w:trHeight w:hRule="exact" w:val="4133"/>
          <w:jc w:val="center"/>
        </w:trPr>
        <w:tc>
          <w:tcPr>
            <w:tcW w:w="72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243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3020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на увеличение стоимости материальных запасов: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по оплате контрактов (договоров) на приобретение (изготовление) объектов, относящихся к материальным запасам: сырье и (или) основные материалы;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вспомогательные материалы; покупные полуфабрикаты; покупные комплектующие изделия; тара и упаковка; затраты на подготовку и освоение производства; затраты на изделия собственного производства; специальные затраты; топливо на технологические цели; запасные части; материалы, переданные в переработку на сторону; строительные материалы, мягкий инвентарь, продукты питания, прочие материальные затраты</w:t>
            </w:r>
          </w:p>
        </w:tc>
      </w:tr>
      <w:tr w:rsidR="00177B65">
        <w:trPr>
          <w:trHeight w:hRule="exact" w:val="3319"/>
          <w:jc w:val="center"/>
        </w:trPr>
        <w:tc>
          <w:tcPr>
            <w:tcW w:w="72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243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3030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на увеличение стоимости основных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средств: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здания и сооружения;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машины и оборудование;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средства;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информационное, компьютерное и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телекоммуникационное (ИКТ) оборудование;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производственный и продуктивный, племенной и рабочий скот;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инвентарь и хозяйственные принадлежности; иные выплаты, относящиеся к увеличению стоимости основных средств</w:t>
            </w:r>
          </w:p>
        </w:tc>
      </w:tr>
      <w:tr w:rsidR="00177B65" w:rsidTr="00E67287">
        <w:trPr>
          <w:trHeight w:hRule="exact" w:val="1109"/>
          <w:jc w:val="center"/>
        </w:trPr>
        <w:tc>
          <w:tcPr>
            <w:tcW w:w="72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243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3040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на увеличение стоимости непроизведенных активов, права собственности на которые должны быть установлены и законодательно закреплены</w:t>
            </w:r>
          </w:p>
        </w:tc>
      </w:tr>
      <w:tr w:rsidR="00177B65">
        <w:trPr>
          <w:trHeight w:hRule="exact" w:val="1674"/>
          <w:jc w:val="center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3050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неинвентарного характера (не связанные с бюджетными инвестициями в объекты капитального строительства) на культурно- технические мероприятия по поверхностному улучшению земель для сельскохозяйственного пользования, производимые за счет капитальных</w:t>
            </w:r>
          </w:p>
        </w:tc>
      </w:tr>
    </w:tbl>
    <w:p w:rsidR="00177B65" w:rsidRDefault="0076249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2434"/>
        <w:gridCol w:w="1008"/>
        <w:gridCol w:w="5533"/>
      </w:tblGrid>
      <w:tr w:rsidR="00177B65">
        <w:trPr>
          <w:trHeight w:hRule="exact" w:val="332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177B65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177B65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177B65">
            <w:pPr>
              <w:rPr>
                <w:sz w:val="10"/>
                <w:szCs w:val="10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вложений (планировка земельных участков, корчевка площадей под пашню, очистка полей от камней и валунов, срезание кочек, расчистка зарослей, очистка водоемов, мелиоративные, осушительные, ирригационные и другие работы, которые неотделимы от земли), за исключением зданий и сооружений, построенных на этой земле (например, дорог, тоннелей, административных зданий), насаждений, подземных водных или биологических ресурсов.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выплаты, относящиеся к увеличению стоимости непроизведенных активов</w:t>
            </w:r>
          </w:p>
        </w:tc>
      </w:tr>
      <w:tr w:rsidR="00177B65">
        <w:trPr>
          <w:trHeight w:hRule="exact" w:val="331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Капитальные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вложения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по оплате контрактов, договоров на строительство (реконструкцию, в том числе с элементами реставрации, технического перевооружения) объектов капитального строительства, или приобретения объектов недвижимого имущества, в том числе: строительные работы; монтажные работы; строительно-монтажные работы; услуги по типовому проектированию, проектные и изыскательские работы; оборудование; инструменты и инвентарь; строительные материалы; прочие работы и затраты</w:t>
            </w:r>
          </w:p>
        </w:tc>
      </w:tr>
      <w:tr w:rsidR="00177B65" w:rsidTr="00E67287">
        <w:trPr>
          <w:trHeight w:hRule="exact" w:val="138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Выбытие со счетов авансовых платежей по контрактам (договорам)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по перечислению авансовых платежей по контрактам (договорам), в том числе на оказание услуг; выполнение работ; материальные затраты (сырье, материалы, оборудование, инвентарь и т.д.)</w:t>
            </w:r>
          </w:p>
        </w:tc>
      </w:tr>
      <w:tr w:rsidR="00177B65" w:rsidTr="00C63C0F">
        <w:trPr>
          <w:trHeight w:hRule="exact" w:val="303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 w:rsidP="00C63C0F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фактически поставленных товаров, выполненных работ, ок</w:t>
            </w:r>
            <w:r w:rsidR="008142DC">
              <w:rPr>
                <w:sz w:val="24"/>
                <w:szCs w:val="24"/>
              </w:rPr>
              <w:t>азанных услуг по муниципальным</w:t>
            </w:r>
            <w:r>
              <w:rPr>
                <w:sz w:val="24"/>
                <w:szCs w:val="24"/>
              </w:rPr>
              <w:t xml:space="preserve"> контрактам, контрактам (договорам), договорам (соглашениям)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B65" w:rsidRDefault="00762496" w:rsidP="008142DC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Оплата фактически поставленных товаров, выполненных работ, оказанных услуг по </w:t>
            </w:r>
            <w:r w:rsidR="008142DC">
              <w:rPr>
                <w:sz w:val="24"/>
                <w:szCs w:val="24"/>
              </w:rPr>
              <w:t>муниципальным</w:t>
            </w:r>
            <w:r>
              <w:rPr>
                <w:sz w:val="24"/>
                <w:szCs w:val="24"/>
              </w:rPr>
              <w:t xml:space="preserve"> контрактам, контрактам (договорам), договорам (соглашениям)</w:t>
            </w:r>
          </w:p>
        </w:tc>
      </w:tr>
      <w:tr w:rsidR="00177B65">
        <w:trPr>
          <w:trHeight w:hRule="exact" w:val="306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 в бюджеты бюджетной системы Российской Федерации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 в бюджеты бюджетной системы Российской Федерации (за исключением НДС, налога на доходы физических лиц) как в составе единого налогового платежа, так и по отдельности: налог на прибыль; земельный налог; государственная пошлина и сборы, включая государственную пошлину за совершение действий, связанных с лицензированием; уплата иных платежей в бюджеты бюджетной системы Российской Федерации</w:t>
            </w:r>
          </w:p>
        </w:tc>
      </w:tr>
    </w:tbl>
    <w:p w:rsidR="00177B65" w:rsidRDefault="0076249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2437"/>
        <w:gridCol w:w="1004"/>
        <w:gridCol w:w="5540"/>
      </w:tblGrid>
      <w:tr w:rsidR="00177B65">
        <w:trPr>
          <w:trHeight w:hRule="exact" w:val="85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6110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добавленную стоимость</w:t>
            </w:r>
          </w:p>
        </w:tc>
      </w:tr>
      <w:tr w:rsidR="00177B65">
        <w:trPr>
          <w:trHeight w:hRule="exact" w:val="83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выплаты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6120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выплаты, не отнесенные к направлениям расходования целевых средств по кодам 1010 - 6110</w:t>
            </w:r>
          </w:p>
        </w:tc>
      </w:tr>
      <w:tr w:rsidR="00177B65" w:rsidTr="00E67287">
        <w:trPr>
          <w:trHeight w:hRule="exact" w:val="3042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Накладные расходы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7010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Общепроизводственные затраты: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труда персонала, связанного с управлением и обслуживанием производства;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работ и (или) услуг, выполняемых сторонними организациями или индивидуальными предпринимателями, физическими лицами, в том числе по договорам гражданско-правового характера;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единого налогового платежа;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затраты общепроизводственного назначения</w:t>
            </w:r>
          </w:p>
        </w:tc>
      </w:tr>
      <w:tr w:rsidR="00177B65">
        <w:trPr>
          <w:trHeight w:hRule="exact" w:val="5256"/>
          <w:jc w:val="center"/>
        </w:trPr>
        <w:tc>
          <w:tcPr>
            <w:tcW w:w="7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243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7020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Общехозяйственные затраты: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и (или) услуги, выполняемые сторонними организациями или индивидуальными предпринимателями, физическими лицами, в том числе по договорам гражданско-правового характера;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единого налогового платежа;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консультационные услуги;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содержание и ремонт зданий, сооружений, инвентаря и иного имущества общехозяйственного назначения;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арендная плата за помещения общехозяйственного назначения;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обслуживанию транспортных средств; расходы на услуги связи;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коммунальные услуги, получение которых связан</w:t>
            </w:r>
            <w:r w:rsidR="00D0635C">
              <w:rPr>
                <w:sz w:val="24"/>
                <w:szCs w:val="24"/>
              </w:rPr>
              <w:t>о с выполнением муниципального</w:t>
            </w:r>
            <w:r>
              <w:rPr>
                <w:sz w:val="24"/>
                <w:szCs w:val="24"/>
              </w:rPr>
              <w:t xml:space="preserve"> контракта, контракта (договора), договора (соглашения);</w:t>
            </w:r>
          </w:p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затраты общехозяйственного назначения</w:t>
            </w:r>
          </w:p>
        </w:tc>
      </w:tr>
      <w:tr w:rsidR="00177B65" w:rsidTr="00E67287">
        <w:trPr>
          <w:trHeight w:hRule="exact" w:val="3312"/>
          <w:jc w:val="center"/>
        </w:trPr>
        <w:tc>
          <w:tcPr>
            <w:tcW w:w="7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243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7B65" w:rsidRDefault="00177B65"/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7030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Административно-управленческие расходы: работы и (или) услуги, выполняемые сторонними организациями или индивидуальными предпринимателями, физическими лицами, в том числе по договорам гражданско-правового характера;</w:t>
            </w:r>
          </w:p>
          <w:p w:rsidR="00177B65" w:rsidRDefault="00762496" w:rsidP="00E67287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труда административно-управленческого персонала;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единого налогового платежа; обучение административно-управленческого персонала;</w:t>
            </w:r>
          </w:p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непроизводственные расходы</w:t>
            </w:r>
          </w:p>
        </w:tc>
      </w:tr>
      <w:tr w:rsidR="00177B65">
        <w:trPr>
          <w:trHeight w:hRule="exact" w:val="113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Выплата прибыли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8100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Выплата прибыли, осуществляемая после исполнения участником казначейского сопровождения всех обязательств (части о</w:t>
            </w:r>
            <w:r w:rsidR="00396DAD">
              <w:rPr>
                <w:sz w:val="24"/>
                <w:szCs w:val="24"/>
              </w:rPr>
              <w:t>бязательств) по муниципальному</w:t>
            </w:r>
            <w:r>
              <w:rPr>
                <w:sz w:val="24"/>
                <w:szCs w:val="24"/>
              </w:rPr>
              <w:t xml:space="preserve"> контракту.</w:t>
            </w:r>
          </w:p>
        </w:tc>
      </w:tr>
    </w:tbl>
    <w:p w:rsidR="00177B65" w:rsidRDefault="00177B65">
      <w:pPr>
        <w:spacing w:line="1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5"/>
        <w:gridCol w:w="2434"/>
        <w:gridCol w:w="1008"/>
        <w:gridCol w:w="5508"/>
      </w:tblGrid>
      <w:tr w:rsidR="00177B65">
        <w:trPr>
          <w:trHeight w:hRule="exact" w:val="1670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177B65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177B65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177B65">
            <w:pPr>
              <w:rPr>
                <w:sz w:val="10"/>
                <w:szCs w:val="10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контракту (д</w:t>
            </w:r>
            <w:r w:rsidR="00396DAD">
              <w:rPr>
                <w:sz w:val="24"/>
                <w:szCs w:val="24"/>
              </w:rPr>
              <w:t>оговору) (этапу муниципального</w:t>
            </w:r>
            <w:r>
              <w:rPr>
                <w:sz w:val="24"/>
                <w:szCs w:val="24"/>
              </w:rPr>
              <w:t xml:space="preserve"> контракта, контракта (договора) (в случае если это предусмо</w:t>
            </w:r>
            <w:r w:rsidR="00396DAD">
              <w:rPr>
                <w:sz w:val="24"/>
                <w:szCs w:val="24"/>
              </w:rPr>
              <w:t>трено условиями муниципального</w:t>
            </w:r>
            <w:r>
              <w:rPr>
                <w:sz w:val="24"/>
                <w:szCs w:val="24"/>
              </w:rPr>
              <w:t xml:space="preserve"> контракта, контракта</w:t>
            </w:r>
            <w:r w:rsidR="00396D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(договора)</w:t>
            </w:r>
            <w:r w:rsidR="00396D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при предоставлении участником казначейского сопровождения документов-оснований)</w:t>
            </w:r>
          </w:p>
        </w:tc>
      </w:tr>
      <w:tr w:rsidR="00177B65" w:rsidTr="00E67287">
        <w:trPr>
          <w:trHeight w:hRule="exact" w:val="2768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по окончательным расчетам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8200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B65" w:rsidRDefault="00762496" w:rsidP="00E67287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окончательным расчетам, осуществляемые после исполнения участником казначейского сопровождения всех </w:t>
            </w:r>
            <w:r w:rsidR="00396DAD">
              <w:rPr>
                <w:sz w:val="24"/>
                <w:szCs w:val="24"/>
              </w:rPr>
              <w:t>обязательств по муниципальному</w:t>
            </w:r>
            <w:r>
              <w:rPr>
                <w:sz w:val="24"/>
                <w:szCs w:val="24"/>
              </w:rPr>
              <w:t xml:space="preserve"> контракту, контракту (договору), договору (соглашению), за исключением стоимости фактически поставленных товаров, выполненных работ, оказанных услуг и выплаты прибыли в размере, определ</w:t>
            </w:r>
            <w:r w:rsidR="00396DAD">
              <w:rPr>
                <w:sz w:val="24"/>
                <w:szCs w:val="24"/>
              </w:rPr>
              <w:t>енном условиями муниципального</w:t>
            </w:r>
            <w:r>
              <w:rPr>
                <w:sz w:val="24"/>
                <w:szCs w:val="24"/>
              </w:rPr>
              <w:t xml:space="preserve"> контракта, контракта</w:t>
            </w:r>
            <w:r w:rsidR="00396D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(договора)</w:t>
            </w:r>
          </w:p>
        </w:tc>
      </w:tr>
      <w:tr w:rsidR="00177B65">
        <w:trPr>
          <w:trHeight w:hRule="exact" w:val="1393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перечислению остатков целевых средств в доход </w:t>
            </w:r>
            <w:r w:rsidRPr="00A80230">
              <w:rPr>
                <w:sz w:val="24"/>
                <w:szCs w:val="24"/>
              </w:rPr>
              <w:t>бюджета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8300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7B65" w:rsidRDefault="0001173C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по перечислению в доход</w:t>
            </w:r>
            <w:r w:rsidR="00762496" w:rsidRPr="006251F3">
              <w:rPr>
                <w:color w:val="FF0000"/>
                <w:sz w:val="24"/>
                <w:szCs w:val="24"/>
              </w:rPr>
              <w:t xml:space="preserve"> </w:t>
            </w:r>
            <w:r w:rsidR="00762496">
              <w:rPr>
                <w:sz w:val="24"/>
                <w:szCs w:val="24"/>
              </w:rPr>
              <w:t>бюджета не использованных по состоянию на 1 января текущего года остатков целевых средств, потребность в использовании которых не подтверждена</w:t>
            </w:r>
          </w:p>
        </w:tc>
      </w:tr>
      <w:tr w:rsidR="00177B65" w:rsidTr="00C63C0F">
        <w:trPr>
          <w:trHeight w:hRule="exact" w:val="1681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7B65" w:rsidRDefault="00762496" w:rsidP="00C63C0F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по перечислению де</w:t>
            </w:r>
            <w:r w:rsidR="0001173C">
              <w:rPr>
                <w:sz w:val="24"/>
                <w:szCs w:val="24"/>
              </w:rPr>
              <w:t xml:space="preserve">биторской задолженности в доход </w:t>
            </w:r>
            <w:r>
              <w:rPr>
                <w:sz w:val="24"/>
                <w:szCs w:val="24"/>
              </w:rPr>
              <w:t>бюджета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8400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B65" w:rsidRDefault="0076249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</w:t>
            </w:r>
            <w:r w:rsidR="0001173C">
              <w:rPr>
                <w:sz w:val="24"/>
                <w:szCs w:val="24"/>
              </w:rPr>
              <w:t>перечислению в доход</w:t>
            </w:r>
            <w:r w:rsidRPr="006251F3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бюджета сумм от возврата дебиторской задолженности, не разрешенных к использованию</w:t>
            </w:r>
          </w:p>
        </w:tc>
      </w:tr>
    </w:tbl>
    <w:p w:rsidR="00177B65" w:rsidRDefault="00177B65">
      <w:pPr>
        <w:spacing w:after="799" w:line="1" w:lineRule="exact"/>
      </w:pPr>
    </w:p>
    <w:p w:rsidR="00177B65" w:rsidRDefault="00762496">
      <w:pPr>
        <w:pStyle w:val="22"/>
        <w:numPr>
          <w:ilvl w:val="0"/>
          <w:numId w:val="7"/>
        </w:numPr>
        <w:tabs>
          <w:tab w:val="left" w:pos="342"/>
        </w:tabs>
        <w:spacing w:after="180"/>
        <w:jc w:val="both"/>
      </w:pPr>
      <w:r>
        <w:t>Включая перечисление средств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агентами.</w:t>
      </w:r>
    </w:p>
    <w:p w:rsidR="00177B65" w:rsidRDefault="00762496">
      <w:pPr>
        <w:pStyle w:val="22"/>
        <w:numPr>
          <w:ilvl w:val="0"/>
          <w:numId w:val="7"/>
        </w:numPr>
        <w:tabs>
          <w:tab w:val="left" w:pos="342"/>
        </w:tabs>
        <w:spacing w:after="0"/>
        <w:jc w:val="both"/>
      </w:pPr>
      <w:r>
        <w:t>За исключением перечисления авансовых платежей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агентами.</w:t>
      </w:r>
    </w:p>
    <w:sectPr w:rsidR="00177B65" w:rsidSect="008C2077">
      <w:headerReference w:type="even" r:id="rId8"/>
      <w:headerReference w:type="default" r:id="rId9"/>
      <w:pgSz w:w="11900" w:h="16840"/>
      <w:pgMar w:top="1134" w:right="720" w:bottom="924" w:left="1134" w:header="0" w:footer="493" w:gutter="0"/>
      <w:pgNumType w:start="19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A1A" w:rsidRDefault="00350A1A">
      <w:r>
        <w:separator/>
      </w:r>
    </w:p>
  </w:endnote>
  <w:endnote w:type="continuationSeparator" w:id="0">
    <w:p w:rsidR="00350A1A" w:rsidRDefault="00350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A1A" w:rsidRDefault="00350A1A"/>
  </w:footnote>
  <w:footnote w:type="continuationSeparator" w:id="0">
    <w:p w:rsidR="00350A1A" w:rsidRDefault="00350A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B65" w:rsidRDefault="0076249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1224BBDF" wp14:editId="26480FF6">
              <wp:simplePos x="0" y="0"/>
              <wp:positionH relativeFrom="page">
                <wp:posOffset>3965575</wp:posOffset>
              </wp:positionH>
              <wp:positionV relativeFrom="page">
                <wp:posOffset>474980</wp:posOffset>
              </wp:positionV>
              <wp:extent cx="121285" cy="95885"/>
              <wp:effectExtent l="0" t="0" r="0" b="0"/>
              <wp:wrapNone/>
              <wp:docPr id="30" name="Shap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285" cy="958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77B65" w:rsidRDefault="00762496">
                          <w:pPr>
                            <w:pStyle w:val="20"/>
                            <w:rPr>
                              <w:sz w:val="17"/>
                              <w:szCs w:val="17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C2077" w:rsidRPr="008C2077">
                            <w:rPr>
                              <w:rFonts w:ascii="Verdana" w:eastAsia="Verdana" w:hAnsi="Verdana" w:cs="Verdana"/>
                              <w:noProof/>
                              <w:sz w:val="17"/>
                              <w:szCs w:val="17"/>
                            </w:rPr>
                            <w:t>24</w:t>
                          </w:r>
                          <w:r>
                            <w:rPr>
                              <w:rFonts w:ascii="Verdana" w:eastAsia="Verdana" w:hAnsi="Verdana" w:cs="Verdana"/>
                              <w:sz w:val="17"/>
                              <w:szCs w:val="17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0" o:spid="_x0000_s1026" type="#_x0000_t202" style="position:absolute;margin-left:312.25pt;margin-top:37.4pt;width:9.55pt;height:7.55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" filled="f" stroked="f">
              <v:textbox style="mso-fit-shape-to-text:t" inset="0,0,0,0">
                <w:txbxContent>
                  <w:p w:rsidR="00177B65" w:rsidRDefault="00762496">
                    <w:pPr>
                      <w:pStyle w:val="20"/>
                      <w:rPr>
                        <w:sz w:val="17"/>
                        <w:szCs w:val="17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C2077" w:rsidRPr="008C2077">
                      <w:rPr>
                        <w:rFonts w:ascii="Verdana" w:eastAsia="Verdana" w:hAnsi="Verdana" w:cs="Verdana"/>
                        <w:noProof/>
                        <w:sz w:val="17"/>
                        <w:szCs w:val="17"/>
                      </w:rPr>
                      <w:t>24</w:t>
                    </w:r>
                    <w:r>
                      <w:rPr>
                        <w:rFonts w:ascii="Verdana" w:eastAsia="Verdana" w:hAnsi="Verdana" w:cs="Verdana"/>
                        <w:sz w:val="17"/>
                        <w:szCs w:val="1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B65" w:rsidRDefault="0076249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359921D1" wp14:editId="4EB31369">
              <wp:simplePos x="0" y="0"/>
              <wp:positionH relativeFrom="page">
                <wp:posOffset>3965575</wp:posOffset>
              </wp:positionH>
              <wp:positionV relativeFrom="page">
                <wp:posOffset>474980</wp:posOffset>
              </wp:positionV>
              <wp:extent cx="121285" cy="95885"/>
              <wp:effectExtent l="0" t="0" r="0" b="0"/>
              <wp:wrapNone/>
              <wp:docPr id="28" name="Shap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285" cy="958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77B65" w:rsidRDefault="00762496">
                          <w:pPr>
                            <w:pStyle w:val="20"/>
                            <w:rPr>
                              <w:sz w:val="17"/>
                              <w:szCs w:val="17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C2077" w:rsidRPr="008C2077">
                            <w:rPr>
                              <w:rFonts w:ascii="Verdana" w:eastAsia="Verdana" w:hAnsi="Verdana" w:cs="Verdana"/>
                              <w:noProof/>
                              <w:sz w:val="17"/>
                              <w:szCs w:val="17"/>
                            </w:rPr>
                            <w:t>19</w:t>
                          </w:r>
                          <w:r>
                            <w:rPr>
                              <w:rFonts w:ascii="Verdana" w:eastAsia="Verdana" w:hAnsi="Verdana" w:cs="Verdana"/>
                              <w:sz w:val="17"/>
                              <w:szCs w:val="17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8" o:spid="_x0000_s1027" type="#_x0000_t202" style="position:absolute;margin-left:312.25pt;margin-top:37.4pt;width:9.55pt;height:7.55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" filled="f" stroked="f">
              <v:textbox style="mso-fit-shape-to-text:t" inset="0,0,0,0">
                <w:txbxContent>
                  <w:p w:rsidR="00177B65" w:rsidRDefault="00762496">
                    <w:pPr>
                      <w:pStyle w:val="20"/>
                      <w:rPr>
                        <w:sz w:val="17"/>
                        <w:szCs w:val="17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C2077" w:rsidRPr="008C2077">
                      <w:rPr>
                        <w:rFonts w:ascii="Verdana" w:eastAsia="Verdana" w:hAnsi="Verdana" w:cs="Verdana"/>
                        <w:noProof/>
                        <w:sz w:val="17"/>
                        <w:szCs w:val="17"/>
                      </w:rPr>
                      <w:t>19</w:t>
                    </w:r>
                    <w:r>
                      <w:rPr>
                        <w:rFonts w:ascii="Verdana" w:eastAsia="Verdana" w:hAnsi="Verdana" w:cs="Verdana"/>
                        <w:sz w:val="17"/>
                        <w:szCs w:val="1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C409C"/>
    <w:multiLevelType w:val="multilevel"/>
    <w:tmpl w:val="C8BEA9E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A53066"/>
    <w:multiLevelType w:val="multilevel"/>
    <w:tmpl w:val="CC5C7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FF7866"/>
    <w:multiLevelType w:val="multilevel"/>
    <w:tmpl w:val="6E02AC9E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0F29C8"/>
    <w:multiLevelType w:val="multilevel"/>
    <w:tmpl w:val="274AC2AE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9A4F76"/>
    <w:multiLevelType w:val="multilevel"/>
    <w:tmpl w:val="29921A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730536"/>
    <w:multiLevelType w:val="multilevel"/>
    <w:tmpl w:val="28EC6DF8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135800"/>
    <w:multiLevelType w:val="multilevel"/>
    <w:tmpl w:val="7B60B4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77B65"/>
    <w:rsid w:val="0001173C"/>
    <w:rsid w:val="000E0A66"/>
    <w:rsid w:val="00177B65"/>
    <w:rsid w:val="001870D2"/>
    <w:rsid w:val="001C1B93"/>
    <w:rsid w:val="002E22C3"/>
    <w:rsid w:val="002F0EFB"/>
    <w:rsid w:val="00350A1A"/>
    <w:rsid w:val="00396DAD"/>
    <w:rsid w:val="003E1A42"/>
    <w:rsid w:val="00465C3A"/>
    <w:rsid w:val="00620408"/>
    <w:rsid w:val="006251F3"/>
    <w:rsid w:val="00762496"/>
    <w:rsid w:val="00792179"/>
    <w:rsid w:val="008142DC"/>
    <w:rsid w:val="008C2077"/>
    <w:rsid w:val="008E7236"/>
    <w:rsid w:val="008F03B7"/>
    <w:rsid w:val="008F1C9A"/>
    <w:rsid w:val="00956216"/>
    <w:rsid w:val="00A80230"/>
    <w:rsid w:val="00B60F24"/>
    <w:rsid w:val="00C63C0F"/>
    <w:rsid w:val="00CE0382"/>
    <w:rsid w:val="00D0635C"/>
    <w:rsid w:val="00E67287"/>
    <w:rsid w:val="00E9488A"/>
    <w:rsid w:val="00F53387"/>
    <w:rsid w:val="00FE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21">
    <w:name w:val="Основной текст (2)_"/>
    <w:basedOn w:val="a0"/>
    <w:link w:val="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78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Pr>
      <w:rFonts w:ascii="Times New Roman" w:eastAsia="Times New Roman" w:hAnsi="Times New Roman" w:cs="Times New Roman"/>
      <w:sz w:val="13"/>
      <w:szCs w:val="13"/>
    </w:rPr>
  </w:style>
  <w:style w:type="paragraph" w:customStyle="1" w:styleId="50">
    <w:name w:val="Основной текст (5)"/>
    <w:basedOn w:val="a"/>
    <w:link w:val="5"/>
    <w:pPr>
      <w:spacing w:after="6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5">
    <w:name w:val="Другое"/>
    <w:basedOn w:val="a"/>
    <w:link w:val="a4"/>
    <w:pPr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pPr>
      <w:jc w:val="righ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40">
    <w:name w:val="Основной текст (4)"/>
    <w:basedOn w:val="a"/>
    <w:link w:val="4"/>
    <w:pPr>
      <w:spacing w:line="310" w:lineRule="auto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22">
    <w:name w:val="Основной текст (2)"/>
    <w:basedOn w:val="a"/>
    <w:link w:val="21"/>
    <w:pPr>
      <w:spacing w:after="90"/>
      <w:ind w:firstLine="140"/>
    </w:pPr>
    <w:rPr>
      <w:rFonts w:ascii="Calibri" w:eastAsia="Calibri" w:hAnsi="Calibri" w:cs="Calibri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E0A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0A6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21">
    <w:name w:val="Основной текст (2)_"/>
    <w:basedOn w:val="a0"/>
    <w:link w:val="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78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Pr>
      <w:rFonts w:ascii="Times New Roman" w:eastAsia="Times New Roman" w:hAnsi="Times New Roman" w:cs="Times New Roman"/>
      <w:sz w:val="13"/>
      <w:szCs w:val="13"/>
    </w:rPr>
  </w:style>
  <w:style w:type="paragraph" w:customStyle="1" w:styleId="50">
    <w:name w:val="Основной текст (5)"/>
    <w:basedOn w:val="a"/>
    <w:link w:val="5"/>
    <w:pPr>
      <w:spacing w:after="6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5">
    <w:name w:val="Другое"/>
    <w:basedOn w:val="a"/>
    <w:link w:val="a4"/>
    <w:pPr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pPr>
      <w:jc w:val="righ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40">
    <w:name w:val="Основной текст (4)"/>
    <w:basedOn w:val="a"/>
    <w:link w:val="4"/>
    <w:pPr>
      <w:spacing w:line="310" w:lineRule="auto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22">
    <w:name w:val="Основной текст (2)"/>
    <w:basedOn w:val="a"/>
    <w:link w:val="21"/>
    <w:pPr>
      <w:spacing w:after="90"/>
      <w:ind w:firstLine="140"/>
    </w:pPr>
    <w:rPr>
      <w:rFonts w:ascii="Calibri" w:eastAsia="Calibri" w:hAnsi="Calibri" w:cs="Calibri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E0A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0A6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2276</Words>
  <Characters>12977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22</cp:revision>
  <cp:lastPrinted>2023-05-23T06:15:00Z</cp:lastPrinted>
  <dcterms:created xsi:type="dcterms:W3CDTF">2023-05-18T10:50:00Z</dcterms:created>
  <dcterms:modified xsi:type="dcterms:W3CDTF">2023-05-23T06:29:00Z</dcterms:modified>
</cp:coreProperties>
</file>